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980" w:rsidRDefault="00445307">
      <w:pPr>
        <w:rPr>
          <w:sz w:val="28"/>
          <w:szCs w:val="28"/>
          <w:u w:val="single"/>
        </w:rPr>
      </w:pPr>
      <w:r w:rsidRPr="00445307">
        <w:rPr>
          <w:sz w:val="28"/>
          <w:szCs w:val="28"/>
          <w:u w:val="single"/>
        </w:rPr>
        <w:t>REFERAT FRA HOVEDSTYREMØTE I GRESVIK IF TIRSDAG 17. NOVEMBER 2011</w:t>
      </w:r>
    </w:p>
    <w:p w:rsidR="00445307" w:rsidRDefault="00445307">
      <w:pPr>
        <w:rPr>
          <w:sz w:val="24"/>
          <w:szCs w:val="24"/>
        </w:rPr>
      </w:pPr>
      <w:r>
        <w:rPr>
          <w:sz w:val="24"/>
          <w:szCs w:val="24"/>
        </w:rPr>
        <w:t xml:space="preserve">Tilstede: Kjetil Føreid, Morten Helminsen, Freddy Magnussen, Jan Simensen, Morten Karlsen (for Atle </w:t>
      </w:r>
      <w:proofErr w:type="spellStart"/>
      <w:r>
        <w:rPr>
          <w:sz w:val="24"/>
          <w:szCs w:val="24"/>
        </w:rPr>
        <w:t>Dieseth</w:t>
      </w:r>
      <w:proofErr w:type="spellEnd"/>
      <w:r>
        <w:rPr>
          <w:sz w:val="24"/>
          <w:szCs w:val="24"/>
        </w:rPr>
        <w:t>), Svein Thoresen, Morten Johannessen</w:t>
      </w:r>
    </w:p>
    <w:p w:rsidR="00445307" w:rsidRDefault="00445307">
      <w:pPr>
        <w:rPr>
          <w:sz w:val="24"/>
          <w:szCs w:val="24"/>
        </w:rPr>
      </w:pPr>
      <w:r>
        <w:rPr>
          <w:sz w:val="24"/>
          <w:szCs w:val="24"/>
        </w:rPr>
        <w:t xml:space="preserve">Forfall. Eilev Pettersen, Ingrid </w:t>
      </w:r>
      <w:proofErr w:type="spellStart"/>
      <w:r>
        <w:rPr>
          <w:sz w:val="24"/>
          <w:szCs w:val="24"/>
        </w:rPr>
        <w:t>Sandrud</w:t>
      </w:r>
      <w:proofErr w:type="spellEnd"/>
    </w:p>
    <w:p w:rsidR="00445307" w:rsidRDefault="00445307">
      <w:pPr>
        <w:rPr>
          <w:sz w:val="24"/>
          <w:szCs w:val="24"/>
          <w:u w:val="single"/>
        </w:rPr>
      </w:pPr>
      <w:r w:rsidRPr="00445307">
        <w:rPr>
          <w:sz w:val="24"/>
          <w:szCs w:val="24"/>
          <w:u w:val="single"/>
        </w:rPr>
        <w:t>SAKSOPPFØLGING</w:t>
      </w:r>
    </w:p>
    <w:p w:rsidR="00445307" w:rsidRDefault="00445307">
      <w:pPr>
        <w:rPr>
          <w:sz w:val="24"/>
          <w:szCs w:val="24"/>
        </w:rPr>
      </w:pPr>
      <w:r>
        <w:rPr>
          <w:sz w:val="24"/>
          <w:szCs w:val="24"/>
        </w:rPr>
        <w:t>Se egen boks i slutten av referatet</w:t>
      </w:r>
      <w:r w:rsidR="00C668E7">
        <w:rPr>
          <w:sz w:val="24"/>
          <w:szCs w:val="24"/>
        </w:rPr>
        <w:t>.</w:t>
      </w:r>
    </w:p>
    <w:p w:rsidR="00445307" w:rsidRDefault="00445307">
      <w:pPr>
        <w:rPr>
          <w:sz w:val="24"/>
          <w:szCs w:val="24"/>
          <w:u w:val="single"/>
        </w:rPr>
      </w:pPr>
      <w:r w:rsidRPr="00445307">
        <w:rPr>
          <w:sz w:val="24"/>
          <w:szCs w:val="24"/>
          <w:u w:val="single"/>
        </w:rPr>
        <w:t>ØKONOMI</w:t>
      </w:r>
    </w:p>
    <w:p w:rsidR="00445307" w:rsidRDefault="00445307">
      <w:pPr>
        <w:rPr>
          <w:sz w:val="24"/>
          <w:szCs w:val="24"/>
        </w:rPr>
      </w:pPr>
      <w:r>
        <w:rPr>
          <w:sz w:val="24"/>
          <w:szCs w:val="24"/>
        </w:rPr>
        <w:t>Driftsresultatet pr. 1. november d.å. er på minus 88.000 kroner, noe som er en forbedring på rundt 30.000 kroner i forhold til forrige månedsskifte. Fortsatt har foreningen utestående 110.000 kroner.</w:t>
      </w:r>
    </w:p>
    <w:p w:rsidR="00445307" w:rsidRDefault="00445307">
      <w:pPr>
        <w:rPr>
          <w:sz w:val="24"/>
          <w:szCs w:val="24"/>
        </w:rPr>
      </w:pPr>
      <w:r>
        <w:rPr>
          <w:sz w:val="24"/>
          <w:szCs w:val="24"/>
        </w:rPr>
        <w:t>Enighet om at foreningen også neste år kan tilby betaling av treningsavgift og kontingent i to terminer – ved starten på året og til sommeren.</w:t>
      </w:r>
    </w:p>
    <w:p w:rsidR="00445307" w:rsidRDefault="00445307">
      <w:pPr>
        <w:rPr>
          <w:sz w:val="24"/>
          <w:szCs w:val="24"/>
          <w:u w:val="single"/>
        </w:rPr>
      </w:pPr>
      <w:r w:rsidRPr="00445307">
        <w:rPr>
          <w:sz w:val="24"/>
          <w:szCs w:val="24"/>
          <w:u w:val="single"/>
        </w:rPr>
        <w:t>ORIENTERINGER FRA GRUPPENE</w:t>
      </w:r>
    </w:p>
    <w:p w:rsidR="00445307" w:rsidRDefault="00445307">
      <w:pPr>
        <w:rPr>
          <w:sz w:val="24"/>
          <w:szCs w:val="24"/>
        </w:rPr>
      </w:pPr>
      <w:r>
        <w:rPr>
          <w:sz w:val="24"/>
          <w:szCs w:val="24"/>
        </w:rPr>
        <w:t xml:space="preserve">Håndball: God innsats og godt humør i hele avdelingen. J99 er på vei mot A-sluttspill og J98 mot en 2. plass. J03 har akkurat startet opp. Ellers er det god aktivitet hos resten av lagene. Syv utespillere og tre keepere er med i </w:t>
      </w:r>
      <w:proofErr w:type="spellStart"/>
      <w:r>
        <w:rPr>
          <w:sz w:val="24"/>
          <w:szCs w:val="24"/>
        </w:rPr>
        <w:t>Byprosjektet</w:t>
      </w:r>
      <w:proofErr w:type="spellEnd"/>
      <w:r>
        <w:rPr>
          <w:sz w:val="24"/>
          <w:szCs w:val="24"/>
        </w:rPr>
        <w:t>.</w:t>
      </w:r>
    </w:p>
    <w:p w:rsidR="00445307" w:rsidRDefault="00445307">
      <w:pPr>
        <w:rPr>
          <w:sz w:val="24"/>
          <w:szCs w:val="24"/>
        </w:rPr>
      </w:pPr>
      <w:r>
        <w:rPr>
          <w:sz w:val="24"/>
          <w:szCs w:val="24"/>
        </w:rPr>
        <w:t>Fotball: Avdelingen er inne i en stille periode</w:t>
      </w:r>
      <w:r w:rsidR="00C668E7">
        <w:rPr>
          <w:sz w:val="24"/>
          <w:szCs w:val="24"/>
        </w:rPr>
        <w:t xml:space="preserve">. Markus </w:t>
      </w:r>
      <w:proofErr w:type="spellStart"/>
      <w:r w:rsidR="00C668E7">
        <w:rPr>
          <w:sz w:val="24"/>
          <w:szCs w:val="24"/>
        </w:rPr>
        <w:t>Walfredsson</w:t>
      </w:r>
      <w:proofErr w:type="spellEnd"/>
      <w:r w:rsidR="00C668E7">
        <w:rPr>
          <w:sz w:val="24"/>
          <w:szCs w:val="24"/>
        </w:rPr>
        <w:t xml:space="preserve"> fra Moss er ansatt som treningskoordinator og han har gitt uttrykk for at han vil være </w:t>
      </w:r>
      <w:proofErr w:type="spellStart"/>
      <w:r w:rsidR="00C668E7">
        <w:rPr>
          <w:sz w:val="24"/>
          <w:szCs w:val="24"/>
        </w:rPr>
        <w:t>hardtsatsende</w:t>
      </w:r>
      <w:proofErr w:type="spellEnd"/>
      <w:r w:rsidR="00C668E7">
        <w:rPr>
          <w:sz w:val="24"/>
          <w:szCs w:val="24"/>
        </w:rPr>
        <w:t>. Ellers står avdelingen foran sin sesongavslutning. Dommersituasjonen skal gjennomgås og det skal lages lister over hvilke dommere klubben har.</w:t>
      </w:r>
    </w:p>
    <w:p w:rsidR="00C668E7" w:rsidRDefault="00C668E7">
      <w:pPr>
        <w:rPr>
          <w:sz w:val="24"/>
          <w:szCs w:val="24"/>
        </w:rPr>
      </w:pPr>
      <w:r>
        <w:rPr>
          <w:sz w:val="24"/>
          <w:szCs w:val="24"/>
        </w:rPr>
        <w:t>BIG: Gruppene er godt i gang og det rapporteres om godt med utøvere, også på jentesiden. Avdelingen har også motiverte foreldre.</w:t>
      </w:r>
    </w:p>
    <w:p w:rsidR="00C668E7" w:rsidRDefault="00C668E7">
      <w:pPr>
        <w:rPr>
          <w:sz w:val="24"/>
          <w:szCs w:val="24"/>
          <w:u w:val="single"/>
        </w:rPr>
      </w:pPr>
      <w:r w:rsidRPr="00C668E7">
        <w:rPr>
          <w:sz w:val="24"/>
          <w:szCs w:val="24"/>
          <w:u w:val="single"/>
        </w:rPr>
        <w:t>EVENTUELT</w:t>
      </w:r>
    </w:p>
    <w:p w:rsidR="00C668E7" w:rsidRDefault="00C668E7">
      <w:pPr>
        <w:rPr>
          <w:sz w:val="24"/>
          <w:szCs w:val="24"/>
        </w:rPr>
      </w:pPr>
      <w:r>
        <w:rPr>
          <w:sz w:val="24"/>
          <w:szCs w:val="24"/>
        </w:rPr>
        <w:t>Vår bankforbindelse DNB stiller på neste møte og får 30 minutter til å presentere seg selv.</w:t>
      </w:r>
    </w:p>
    <w:p w:rsidR="00C668E7" w:rsidRDefault="00C668E7">
      <w:pPr>
        <w:rPr>
          <w:sz w:val="24"/>
          <w:szCs w:val="24"/>
        </w:rPr>
      </w:pPr>
      <w:r>
        <w:rPr>
          <w:sz w:val="24"/>
          <w:szCs w:val="24"/>
        </w:rPr>
        <w:t>Fra Gressvik Lokalsamfunnsutvalg har Gresvik IF fått 2500 kroner til skiløype og 7500 kroner til grusbanen.</w:t>
      </w:r>
    </w:p>
    <w:p w:rsidR="00C668E7" w:rsidRDefault="00C668E7">
      <w:pPr>
        <w:rPr>
          <w:sz w:val="24"/>
          <w:szCs w:val="24"/>
        </w:rPr>
      </w:pPr>
      <w:r>
        <w:rPr>
          <w:sz w:val="24"/>
          <w:szCs w:val="24"/>
        </w:rPr>
        <w:t>90 års-komite: Kjetil og Jan melder seg begge til tjeneste.</w:t>
      </w:r>
    </w:p>
    <w:p w:rsidR="00C668E7" w:rsidRDefault="00C668E7">
      <w:pPr>
        <w:rPr>
          <w:sz w:val="24"/>
          <w:szCs w:val="24"/>
        </w:rPr>
      </w:pPr>
      <w:r>
        <w:rPr>
          <w:sz w:val="24"/>
          <w:szCs w:val="24"/>
        </w:rPr>
        <w:t>Neste møte i hovedstyret er torsdag 15. desember klokken 18 i Trondalen</w:t>
      </w:r>
    </w:p>
    <w:p w:rsidR="00C668E7" w:rsidRDefault="00C668E7" w:rsidP="00ED0427">
      <w:pPr>
        <w:jc w:val="center"/>
        <w:rPr>
          <w:sz w:val="24"/>
          <w:szCs w:val="24"/>
        </w:rPr>
      </w:pPr>
      <w:r>
        <w:rPr>
          <w:sz w:val="24"/>
          <w:szCs w:val="24"/>
        </w:rPr>
        <w:t>Oksviken, 21. november 2011</w:t>
      </w:r>
    </w:p>
    <w:p w:rsidR="00C668E7" w:rsidRDefault="00C668E7" w:rsidP="00ED0427">
      <w:pPr>
        <w:jc w:val="center"/>
        <w:rPr>
          <w:sz w:val="24"/>
          <w:szCs w:val="24"/>
        </w:rPr>
      </w:pPr>
      <w:r>
        <w:rPr>
          <w:sz w:val="24"/>
          <w:szCs w:val="24"/>
        </w:rPr>
        <w:t>Svein Thoresen, sekretær</w:t>
      </w:r>
      <w:bookmarkStart w:id="0" w:name="_GoBack"/>
      <w:bookmarkEnd w:id="0"/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806"/>
        <w:gridCol w:w="3453"/>
        <w:gridCol w:w="1648"/>
        <w:gridCol w:w="1627"/>
        <w:gridCol w:w="1754"/>
      </w:tblGrid>
      <w:tr w:rsidR="00C668E7" w:rsidRPr="00480FAC" w:rsidTr="00ED0427">
        <w:trPr>
          <w:trHeight w:val="557"/>
        </w:trPr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668E7" w:rsidRPr="00480FAC" w:rsidRDefault="00C668E7" w:rsidP="00480FA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80FAC">
              <w:rPr>
                <w:b/>
                <w:bCs/>
                <w:color w:val="000000"/>
                <w:sz w:val="24"/>
                <w:szCs w:val="24"/>
              </w:rPr>
              <w:lastRenderedPageBreak/>
              <w:t>Nr</w:t>
            </w:r>
            <w:proofErr w:type="spellEnd"/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668E7" w:rsidRPr="00480FAC" w:rsidRDefault="00C668E7" w:rsidP="00480FA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480FAC">
              <w:rPr>
                <w:b/>
                <w:bCs/>
                <w:color w:val="000000"/>
                <w:sz w:val="24"/>
                <w:szCs w:val="24"/>
              </w:rPr>
              <w:t>Sak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668E7" w:rsidRPr="00480FAC" w:rsidRDefault="00C668E7" w:rsidP="00480FA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480FAC">
              <w:rPr>
                <w:b/>
                <w:bCs/>
                <w:color w:val="000000"/>
                <w:sz w:val="24"/>
                <w:szCs w:val="24"/>
              </w:rPr>
              <w:t>Hvem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668E7" w:rsidRPr="00480FAC" w:rsidRDefault="00C668E7" w:rsidP="00480FA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480FAC">
              <w:rPr>
                <w:b/>
                <w:bCs/>
                <w:color w:val="000000"/>
                <w:sz w:val="24"/>
                <w:szCs w:val="24"/>
              </w:rPr>
              <w:t>Tidsfrist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668E7" w:rsidRPr="00480FAC" w:rsidRDefault="00C668E7" w:rsidP="00480FA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480FAC">
              <w:rPr>
                <w:b/>
                <w:bCs/>
                <w:color w:val="000000"/>
                <w:sz w:val="24"/>
                <w:szCs w:val="24"/>
              </w:rPr>
              <w:t>Saken avsluttet</w:t>
            </w:r>
          </w:p>
        </w:tc>
      </w:tr>
      <w:tr w:rsidR="00C668E7" w:rsidRPr="00480FAC" w:rsidTr="00ED0427"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C668E7" w:rsidRPr="00480FAC" w:rsidRDefault="00C668E7" w:rsidP="00480FA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480FAC">
              <w:rPr>
                <w:rFonts w:eastAsia="Times New Roman"/>
                <w:bCs/>
                <w:color w:val="000000"/>
                <w:sz w:val="24"/>
                <w:szCs w:val="24"/>
                <w:lang w:eastAsia="nb-NO"/>
              </w:rPr>
              <w:t>09/03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C668E7" w:rsidRPr="00480FAC" w:rsidRDefault="00C668E7" w:rsidP="00480FA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nb-NO"/>
              </w:rPr>
            </w:pPr>
            <w:r w:rsidRPr="00480FAC">
              <w:rPr>
                <w:rFonts w:eastAsia="Times New Roman"/>
                <w:color w:val="000000"/>
                <w:sz w:val="24"/>
                <w:szCs w:val="24"/>
                <w:lang w:eastAsia="nb-NO"/>
              </w:rPr>
              <w:t xml:space="preserve">Boligutbyggingen i Trondalen.  Vi </w:t>
            </w:r>
            <w:r w:rsidR="00480FAC" w:rsidRPr="00480FAC">
              <w:rPr>
                <w:rFonts w:eastAsia="Times New Roman"/>
                <w:color w:val="000000"/>
                <w:sz w:val="24"/>
                <w:szCs w:val="24"/>
                <w:lang w:eastAsia="nb-NO"/>
              </w:rPr>
              <w:t>har godtatt</w:t>
            </w:r>
            <w:r w:rsidRPr="00480FAC">
              <w:rPr>
                <w:rFonts w:eastAsia="Times New Roman"/>
                <w:color w:val="000000"/>
                <w:sz w:val="24"/>
                <w:szCs w:val="24"/>
                <w:lang w:eastAsia="nb-NO"/>
              </w:rPr>
              <w:t xml:space="preserve"> planene mot en avtale om kompenserende tiltak. Skriv er sendt utbygger. Nå</w:t>
            </w:r>
            <w:r w:rsidR="00480FAC" w:rsidRPr="00480FAC">
              <w:rPr>
                <w:rFonts w:eastAsia="Times New Roman"/>
                <w:color w:val="000000"/>
                <w:sz w:val="24"/>
                <w:szCs w:val="24"/>
                <w:lang w:eastAsia="nb-NO"/>
              </w:rPr>
              <w:t>r</w:t>
            </w:r>
            <w:r w:rsidRPr="00480FAC">
              <w:rPr>
                <w:rFonts w:eastAsia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  <w:r w:rsidR="00480FAC" w:rsidRPr="00480FAC">
              <w:rPr>
                <w:rFonts w:eastAsia="Times New Roman"/>
                <w:color w:val="000000"/>
                <w:sz w:val="24"/>
                <w:szCs w:val="24"/>
                <w:lang w:eastAsia="nb-NO"/>
              </w:rPr>
              <w:t xml:space="preserve">saken nå har fått sin </w:t>
            </w:r>
            <w:r w:rsidRPr="00480FAC">
              <w:rPr>
                <w:rFonts w:eastAsia="Times New Roman"/>
                <w:color w:val="000000"/>
                <w:sz w:val="24"/>
                <w:szCs w:val="24"/>
                <w:lang w:eastAsia="nb-NO"/>
              </w:rPr>
              <w:t>politisk</w:t>
            </w:r>
            <w:r w:rsidR="00480FAC" w:rsidRPr="00480FAC">
              <w:rPr>
                <w:rFonts w:eastAsia="Times New Roman"/>
                <w:color w:val="000000"/>
                <w:sz w:val="24"/>
                <w:szCs w:val="24"/>
                <w:lang w:eastAsia="nb-NO"/>
              </w:rPr>
              <w:t>e</w:t>
            </w:r>
            <w:r w:rsidRPr="00480FAC">
              <w:rPr>
                <w:rFonts w:eastAsia="Times New Roman"/>
                <w:color w:val="000000"/>
                <w:sz w:val="24"/>
                <w:szCs w:val="24"/>
                <w:lang w:eastAsia="nb-NO"/>
              </w:rPr>
              <w:t xml:space="preserve"> behandling</w:t>
            </w:r>
            <w:r w:rsidR="00480FAC" w:rsidRPr="00480FAC">
              <w:rPr>
                <w:rFonts w:eastAsia="Times New Roman"/>
                <w:color w:val="000000"/>
                <w:sz w:val="24"/>
                <w:szCs w:val="24"/>
                <w:lang w:eastAsia="nb-NO"/>
              </w:rPr>
              <w:t>, tilskriver vi utbygger og ber om gjennomføring av avtalen.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C668E7" w:rsidRPr="00480FAC" w:rsidRDefault="00C668E7" w:rsidP="00480FA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nb-NO"/>
              </w:rPr>
            </w:pPr>
            <w:r w:rsidRPr="00480FAC">
              <w:rPr>
                <w:rFonts w:eastAsia="Times New Roman"/>
                <w:color w:val="000000"/>
                <w:sz w:val="24"/>
                <w:szCs w:val="24"/>
                <w:lang w:eastAsia="nb-NO"/>
              </w:rPr>
              <w:t>Svein, Morten H og Kjetil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C668E7" w:rsidRPr="00480FAC" w:rsidRDefault="00C668E7" w:rsidP="00480FA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80FAC">
              <w:rPr>
                <w:rFonts w:eastAsia="Times New Roman"/>
                <w:color w:val="000000"/>
                <w:sz w:val="24"/>
                <w:szCs w:val="24"/>
                <w:lang w:eastAsia="nb-NO"/>
              </w:rPr>
              <w:t>Fortløpende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</w:tcPr>
          <w:p w:rsidR="00C668E7" w:rsidRPr="00480FAC" w:rsidRDefault="00C668E7" w:rsidP="00480FA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C668E7" w:rsidRPr="00480FAC" w:rsidTr="00ED0427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68E7" w:rsidRPr="00480FAC" w:rsidRDefault="00C668E7" w:rsidP="00480FA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68E7" w:rsidRPr="00480FAC" w:rsidRDefault="00C668E7" w:rsidP="00480FA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68E7" w:rsidRPr="00480FAC" w:rsidRDefault="00C668E7" w:rsidP="00480FA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C668E7" w:rsidRPr="00480FAC" w:rsidRDefault="00C668E7" w:rsidP="00480FA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C668E7" w:rsidRPr="00480FAC" w:rsidRDefault="00C668E7" w:rsidP="00480FA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C668E7" w:rsidRPr="00480FAC" w:rsidTr="00ED0427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C668E7" w:rsidRPr="00480FAC" w:rsidRDefault="00C668E7" w:rsidP="00480FA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C668E7" w:rsidRPr="00480FAC" w:rsidRDefault="00C668E7" w:rsidP="00480FA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C668E7" w:rsidRPr="00480FAC" w:rsidRDefault="00C668E7" w:rsidP="00480FA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C668E7" w:rsidRPr="00480FAC" w:rsidRDefault="00C668E7" w:rsidP="00480FA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C668E7" w:rsidRPr="00480FAC" w:rsidRDefault="00C668E7" w:rsidP="00480FA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C668E7" w:rsidRPr="00480FAC" w:rsidTr="00ED0427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68E7" w:rsidRPr="00480FAC" w:rsidRDefault="00C668E7" w:rsidP="00480FA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480FAC">
              <w:rPr>
                <w:bCs/>
                <w:color w:val="000000"/>
                <w:sz w:val="24"/>
                <w:szCs w:val="24"/>
              </w:rPr>
              <w:t>11/05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68E7" w:rsidRPr="00480FAC" w:rsidRDefault="00C668E7" w:rsidP="00480FA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80FAC">
              <w:rPr>
                <w:color w:val="000000"/>
                <w:sz w:val="24"/>
                <w:szCs w:val="24"/>
              </w:rPr>
              <w:t>Det må utarbeides branntekniske tegninger for klubbhuset.  Freddy er i gang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68E7" w:rsidRPr="00480FAC" w:rsidRDefault="00C668E7" w:rsidP="00480FA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80FAC">
              <w:rPr>
                <w:color w:val="000000"/>
                <w:sz w:val="24"/>
                <w:szCs w:val="24"/>
              </w:rPr>
              <w:t>Morten H og Freddy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68E7" w:rsidRPr="00480FAC" w:rsidRDefault="00C668E7" w:rsidP="00480FA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80FAC">
              <w:rPr>
                <w:color w:val="000000"/>
                <w:sz w:val="24"/>
                <w:szCs w:val="24"/>
              </w:rPr>
              <w:t>Innen jul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C668E7" w:rsidRPr="00480FAC" w:rsidRDefault="00C668E7" w:rsidP="00480FA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C668E7" w:rsidRPr="00480FAC" w:rsidTr="00ED0427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C668E7" w:rsidRPr="00480FAC" w:rsidRDefault="00C668E7" w:rsidP="00480FA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480FAC">
              <w:rPr>
                <w:bCs/>
                <w:color w:val="000000"/>
                <w:sz w:val="24"/>
                <w:szCs w:val="24"/>
              </w:rPr>
              <w:t>11/06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C668E7" w:rsidRPr="00480FAC" w:rsidRDefault="00C668E7" w:rsidP="00480FA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80FAC">
              <w:rPr>
                <w:color w:val="000000"/>
                <w:sz w:val="24"/>
                <w:szCs w:val="24"/>
              </w:rPr>
              <w:t xml:space="preserve">Det må ryddes opp i en gammel reskontro liste, og i en ansattliste </w:t>
            </w:r>
            <w:proofErr w:type="spellStart"/>
            <w:r w:rsidRPr="00480FAC">
              <w:rPr>
                <w:color w:val="000000"/>
                <w:sz w:val="24"/>
                <w:szCs w:val="24"/>
              </w:rPr>
              <w:t>ifm</w:t>
            </w:r>
            <w:proofErr w:type="spellEnd"/>
            <w:r w:rsidRPr="00480FAC">
              <w:rPr>
                <w:color w:val="000000"/>
                <w:sz w:val="24"/>
                <w:szCs w:val="24"/>
              </w:rPr>
              <w:t xml:space="preserve"> økonomi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C668E7" w:rsidRPr="00480FAC" w:rsidRDefault="00C668E7" w:rsidP="00480FA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80FAC">
              <w:rPr>
                <w:color w:val="000000"/>
                <w:sz w:val="24"/>
                <w:szCs w:val="24"/>
              </w:rPr>
              <w:t>Ingrid.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C668E7" w:rsidRPr="00480FAC" w:rsidRDefault="00C668E7" w:rsidP="00480FA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80FAC">
              <w:rPr>
                <w:color w:val="000000"/>
                <w:sz w:val="24"/>
                <w:szCs w:val="24"/>
              </w:rPr>
              <w:t>Fortløpende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C668E7" w:rsidRPr="00480FAC" w:rsidRDefault="00C668E7" w:rsidP="00480FA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C668E7" w:rsidRPr="00480FAC" w:rsidTr="00ED0427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68E7" w:rsidRPr="00480FAC" w:rsidRDefault="00C668E7" w:rsidP="00480FA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480FAC">
              <w:rPr>
                <w:bCs/>
                <w:color w:val="000000"/>
                <w:sz w:val="24"/>
                <w:szCs w:val="24"/>
              </w:rPr>
              <w:t>11/07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68E7" w:rsidRPr="00480FAC" w:rsidRDefault="00C668E7" w:rsidP="00480FA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80FAC">
              <w:rPr>
                <w:color w:val="000000"/>
                <w:sz w:val="24"/>
                <w:szCs w:val="24"/>
              </w:rPr>
              <w:t>Medlemskonti</w:t>
            </w:r>
            <w:r w:rsidR="00480FAC" w:rsidRPr="00480FAC">
              <w:rPr>
                <w:color w:val="000000"/>
                <w:sz w:val="24"/>
                <w:szCs w:val="24"/>
              </w:rPr>
              <w:t>n</w:t>
            </w:r>
            <w:r w:rsidRPr="00480FAC">
              <w:rPr>
                <w:color w:val="000000"/>
                <w:sz w:val="24"/>
                <w:szCs w:val="24"/>
              </w:rPr>
              <w:t xml:space="preserve">genter må følges opp nøye. Ingen får lov til å delta i </w:t>
            </w:r>
            <w:r w:rsidR="00480FAC" w:rsidRPr="00480FAC">
              <w:rPr>
                <w:color w:val="000000"/>
                <w:sz w:val="24"/>
                <w:szCs w:val="24"/>
              </w:rPr>
              <w:t>aktivitet for GIF</w:t>
            </w:r>
            <w:r w:rsidRPr="00480FAC">
              <w:rPr>
                <w:color w:val="000000"/>
                <w:sz w:val="24"/>
                <w:szCs w:val="24"/>
              </w:rPr>
              <w:t xml:space="preserve"> før kontingent er betalt</w:t>
            </w:r>
            <w:r w:rsidR="00480FAC" w:rsidRPr="00480FAC">
              <w:rPr>
                <w:color w:val="000000"/>
                <w:sz w:val="24"/>
                <w:szCs w:val="24"/>
              </w:rPr>
              <w:t>. Dette løfter vi nå opp som et lagsansvar med mulighet til å trekke penger fra de lagene som har utøvere som ikke har gjort opp for seg.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68E7" w:rsidRPr="00480FAC" w:rsidRDefault="00C668E7" w:rsidP="00480FA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80FAC">
              <w:rPr>
                <w:color w:val="000000"/>
                <w:sz w:val="24"/>
                <w:szCs w:val="24"/>
              </w:rPr>
              <w:t>Morten H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68E7" w:rsidRPr="00480FAC" w:rsidRDefault="00C668E7" w:rsidP="00480FA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80FAC">
              <w:rPr>
                <w:color w:val="000000"/>
                <w:sz w:val="24"/>
                <w:szCs w:val="24"/>
              </w:rPr>
              <w:t>Fortløpende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C668E7" w:rsidRPr="00480FAC" w:rsidRDefault="00C668E7" w:rsidP="00480FA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C668E7" w:rsidRPr="00480FAC" w:rsidTr="00ED0427"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  <w:hideMark/>
          </w:tcPr>
          <w:p w:rsidR="00C668E7" w:rsidRPr="00480FAC" w:rsidRDefault="00C668E7" w:rsidP="00480FA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480FAC">
              <w:rPr>
                <w:bCs/>
                <w:color w:val="000000"/>
                <w:sz w:val="24"/>
                <w:szCs w:val="24"/>
              </w:rPr>
              <w:t>11/08</w:t>
            </w:r>
          </w:p>
          <w:p w:rsidR="00C668E7" w:rsidRPr="00480FAC" w:rsidRDefault="00C668E7" w:rsidP="00480FA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:rsidR="00C668E7" w:rsidRPr="00480FAC" w:rsidRDefault="00C668E7" w:rsidP="00480FA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:rsidR="00C668E7" w:rsidRPr="00480FAC" w:rsidRDefault="00C668E7" w:rsidP="00480FA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:rsidR="00C668E7" w:rsidRPr="00480FAC" w:rsidRDefault="00C668E7" w:rsidP="00480FA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480FAC">
              <w:rPr>
                <w:b/>
                <w:bCs/>
                <w:color w:val="000000"/>
                <w:sz w:val="24"/>
                <w:szCs w:val="24"/>
              </w:rPr>
              <w:t xml:space="preserve">11/09    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  <w:hideMark/>
          </w:tcPr>
          <w:p w:rsidR="00C668E7" w:rsidRPr="00480FAC" w:rsidRDefault="00C668E7" w:rsidP="00480FA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80FAC">
              <w:rPr>
                <w:color w:val="000000"/>
                <w:sz w:val="24"/>
                <w:szCs w:val="24"/>
              </w:rPr>
              <w:t>GIF-Guide del 4 må revideres</w:t>
            </w:r>
          </w:p>
          <w:p w:rsidR="00C668E7" w:rsidRPr="00480FAC" w:rsidRDefault="00C668E7" w:rsidP="00480FA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C668E7" w:rsidRPr="00480FAC" w:rsidRDefault="00C668E7" w:rsidP="00480FA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C668E7" w:rsidRPr="00480FAC" w:rsidRDefault="00C668E7" w:rsidP="00480FA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C668E7" w:rsidRPr="00480FAC" w:rsidRDefault="00C668E7" w:rsidP="00480FA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80FAC">
              <w:rPr>
                <w:color w:val="000000"/>
                <w:sz w:val="24"/>
                <w:szCs w:val="24"/>
              </w:rPr>
              <w:t>90 års-beretning</w:t>
            </w:r>
            <w:r w:rsidR="00480FAC" w:rsidRPr="00480FA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480FAC" w:rsidRPr="00480FAC">
              <w:rPr>
                <w:color w:val="000000"/>
                <w:sz w:val="24"/>
                <w:szCs w:val="24"/>
              </w:rPr>
              <w:t xml:space="preserve">skrives </w:t>
            </w:r>
            <w:r w:rsidRPr="00480FAC">
              <w:rPr>
                <w:color w:val="000000"/>
                <w:sz w:val="24"/>
                <w:szCs w:val="24"/>
              </w:rPr>
              <w:t xml:space="preserve">      </w:t>
            </w:r>
            <w:r w:rsidR="00480FAC" w:rsidRPr="00480FAC">
              <w:rPr>
                <w:color w:val="000000"/>
                <w:sz w:val="24"/>
                <w:szCs w:val="24"/>
              </w:rPr>
              <w:t>hvis</w:t>
            </w:r>
            <w:proofErr w:type="gramEnd"/>
            <w:r w:rsidR="00480FAC" w:rsidRPr="00480FAC">
              <w:rPr>
                <w:color w:val="000000"/>
                <w:sz w:val="24"/>
                <w:szCs w:val="24"/>
              </w:rPr>
              <w:t xml:space="preserve"> det viser seg at vi fortsatt har tilgang til originalmanuset til</w:t>
            </w:r>
            <w:r w:rsidRPr="00480FAC">
              <w:rPr>
                <w:color w:val="000000"/>
                <w:sz w:val="24"/>
                <w:szCs w:val="24"/>
              </w:rPr>
              <w:t xml:space="preserve">   </w:t>
            </w:r>
            <w:r w:rsidR="00480FAC" w:rsidRPr="00480FAC">
              <w:rPr>
                <w:color w:val="000000"/>
                <w:sz w:val="24"/>
                <w:szCs w:val="24"/>
              </w:rPr>
              <w:t>80 års-beretningen.</w:t>
            </w:r>
            <w:r w:rsidRPr="00480FAC">
              <w:rPr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  <w:hideMark/>
          </w:tcPr>
          <w:p w:rsidR="00C668E7" w:rsidRPr="00480FAC" w:rsidRDefault="00C668E7" w:rsidP="00480FA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80FAC">
              <w:rPr>
                <w:color w:val="000000"/>
                <w:sz w:val="24"/>
                <w:szCs w:val="24"/>
              </w:rPr>
              <w:t>Atle</w:t>
            </w:r>
          </w:p>
          <w:p w:rsidR="00C668E7" w:rsidRPr="00480FAC" w:rsidRDefault="00C668E7" w:rsidP="00480FA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C668E7" w:rsidRPr="00480FAC" w:rsidRDefault="00C668E7" w:rsidP="00480FA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C668E7" w:rsidRPr="00480FAC" w:rsidRDefault="00C668E7" w:rsidP="00480FA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C668E7" w:rsidRPr="00480FAC" w:rsidRDefault="00C668E7" w:rsidP="00480FA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80FAC">
              <w:rPr>
                <w:color w:val="000000"/>
                <w:sz w:val="24"/>
                <w:szCs w:val="24"/>
              </w:rPr>
              <w:t>Svein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  <w:hideMark/>
          </w:tcPr>
          <w:p w:rsidR="00C668E7" w:rsidRPr="00480FAC" w:rsidRDefault="00C668E7" w:rsidP="00480FA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80FAC">
              <w:rPr>
                <w:color w:val="000000"/>
                <w:sz w:val="24"/>
                <w:szCs w:val="24"/>
              </w:rPr>
              <w:t>Ferdig på nett i løpet av høsten</w:t>
            </w:r>
          </w:p>
          <w:p w:rsidR="00C668E7" w:rsidRPr="00480FAC" w:rsidRDefault="00C668E7" w:rsidP="00480FA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C668E7" w:rsidRPr="00480FAC" w:rsidRDefault="00C668E7" w:rsidP="00480FA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80FAC">
              <w:rPr>
                <w:color w:val="000000"/>
                <w:sz w:val="24"/>
                <w:szCs w:val="24"/>
              </w:rPr>
              <w:t>1. halvdel 2012</w:t>
            </w:r>
          </w:p>
          <w:p w:rsidR="00C668E7" w:rsidRPr="00480FAC" w:rsidRDefault="00C668E7" w:rsidP="00480FA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C668E7" w:rsidRPr="00480FAC" w:rsidRDefault="00C668E7" w:rsidP="00480FAC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C668E7" w:rsidRPr="00480FAC" w:rsidRDefault="00C668E7" w:rsidP="00480FA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C668E7" w:rsidRPr="00480FAC" w:rsidRDefault="00C668E7" w:rsidP="00480FA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C668E7" w:rsidRPr="00480FAC" w:rsidRDefault="00C668E7" w:rsidP="00480FA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C668E7" w:rsidRPr="00480FAC" w:rsidRDefault="00C668E7" w:rsidP="00480FA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C668E7" w:rsidRPr="00480FAC" w:rsidRDefault="00C668E7" w:rsidP="00480FA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C668E7" w:rsidRPr="00C668E7" w:rsidRDefault="00C668E7">
      <w:pPr>
        <w:rPr>
          <w:sz w:val="24"/>
          <w:szCs w:val="24"/>
        </w:rPr>
      </w:pPr>
    </w:p>
    <w:sectPr w:rsidR="00C668E7" w:rsidRPr="00C668E7" w:rsidSect="00232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307"/>
    <w:rsid w:val="00232980"/>
    <w:rsid w:val="00445307"/>
    <w:rsid w:val="00480FAC"/>
    <w:rsid w:val="00C668E7"/>
    <w:rsid w:val="00ED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98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</dc:creator>
  <cp:keywords/>
  <cp:lastModifiedBy>Kjetil Føreid</cp:lastModifiedBy>
  <cp:revision>2</cp:revision>
  <dcterms:created xsi:type="dcterms:W3CDTF">2011-12-03T11:49:00Z</dcterms:created>
  <dcterms:modified xsi:type="dcterms:W3CDTF">2011-12-03T11:49:00Z</dcterms:modified>
</cp:coreProperties>
</file>